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4DD59" w14:textId="77777777" w:rsidR="00476E20" w:rsidRDefault="00476E20" w:rsidP="00476E20">
      <w:pPr>
        <w:jc w:val="center"/>
      </w:pPr>
      <w:bookmarkStart w:id="0" w:name="_GoBack"/>
      <w:bookmarkEnd w:id="0"/>
    </w:p>
    <w:p w14:paraId="6444DD5A" w14:textId="77777777" w:rsidR="00476E20" w:rsidRDefault="00476E20" w:rsidP="00476E20">
      <w:pPr>
        <w:jc w:val="center"/>
      </w:pPr>
    </w:p>
    <w:p w14:paraId="6444DD5B" w14:textId="77777777" w:rsidR="00476E20" w:rsidRDefault="00476E20" w:rsidP="00476E20">
      <w:pPr>
        <w:jc w:val="center"/>
      </w:pPr>
    </w:p>
    <w:p w14:paraId="6444DD5C" w14:textId="77777777" w:rsidR="00476E20" w:rsidRDefault="00476E20" w:rsidP="00476E20">
      <w:pPr>
        <w:jc w:val="center"/>
      </w:pPr>
    </w:p>
    <w:p w14:paraId="6444DD5D" w14:textId="77777777" w:rsidR="00476E20" w:rsidRDefault="00476E20" w:rsidP="00476E20">
      <w:pPr>
        <w:jc w:val="center"/>
      </w:pPr>
    </w:p>
    <w:p w14:paraId="6444DD5E" w14:textId="77777777" w:rsidR="00476E20" w:rsidRDefault="00476E20" w:rsidP="00476E20">
      <w:pPr>
        <w:jc w:val="center"/>
      </w:pPr>
    </w:p>
    <w:p w14:paraId="6444DD5F" w14:textId="77777777" w:rsidR="00476E20" w:rsidRDefault="00476E20" w:rsidP="00476E20">
      <w:pPr>
        <w:jc w:val="center"/>
      </w:pPr>
    </w:p>
    <w:p w14:paraId="6444DD60" w14:textId="77777777" w:rsidR="00476E20" w:rsidRDefault="00476E20" w:rsidP="00476E20">
      <w:pPr>
        <w:jc w:val="center"/>
      </w:pPr>
    </w:p>
    <w:p w14:paraId="6444DD61" w14:textId="77777777" w:rsidR="00476E20" w:rsidRDefault="00476E20" w:rsidP="00476E20">
      <w:pPr>
        <w:jc w:val="center"/>
      </w:pPr>
    </w:p>
    <w:p w14:paraId="6444DD62" w14:textId="77777777" w:rsidR="00476E20" w:rsidRDefault="00476E20" w:rsidP="00476E20">
      <w:pPr>
        <w:jc w:val="center"/>
      </w:pPr>
    </w:p>
    <w:p w14:paraId="6444DD63" w14:textId="77777777" w:rsidR="00476E20" w:rsidRDefault="00476E20" w:rsidP="00476E20">
      <w:pPr>
        <w:jc w:val="center"/>
      </w:pPr>
    </w:p>
    <w:p w14:paraId="6444DD64" w14:textId="77777777" w:rsidR="00476E20" w:rsidRDefault="00476E20" w:rsidP="00476E20">
      <w:pPr>
        <w:jc w:val="center"/>
      </w:pPr>
    </w:p>
    <w:p w14:paraId="6444DD65" w14:textId="77777777" w:rsidR="00476E20" w:rsidRDefault="00476E20" w:rsidP="00476E20">
      <w:pPr>
        <w:jc w:val="center"/>
      </w:pPr>
    </w:p>
    <w:p w14:paraId="6444DD66" w14:textId="77777777" w:rsidR="00476E20" w:rsidRDefault="00476E20" w:rsidP="00476E20">
      <w:pPr>
        <w:jc w:val="center"/>
      </w:pPr>
    </w:p>
    <w:p w14:paraId="6444DD67" w14:textId="1D84BF2D" w:rsidR="00476E20" w:rsidRDefault="00A35F18" w:rsidP="00476E20">
      <w:pPr>
        <w:jc w:val="center"/>
      </w:pPr>
      <w:r>
        <w:t xml:space="preserve">Vicarious </w:t>
      </w:r>
      <w:r w:rsidR="00C91AE3">
        <w:t>Trauma, Burnout, and Counter-Transference</w:t>
      </w:r>
    </w:p>
    <w:p w14:paraId="6444DD68" w14:textId="77777777" w:rsidR="00476E20" w:rsidRDefault="00A151F5" w:rsidP="00476E20">
      <w:pPr>
        <w:jc w:val="center"/>
      </w:pPr>
      <w:r>
        <w:t>Alphaus Reddick</w:t>
      </w:r>
    </w:p>
    <w:p w14:paraId="6444DD69" w14:textId="77777777" w:rsidR="00476E20" w:rsidRDefault="00A151F5" w:rsidP="00476E20">
      <w:pPr>
        <w:jc w:val="center"/>
      </w:pPr>
      <w:r>
        <w:t>Walden University</w:t>
      </w:r>
    </w:p>
    <w:p w14:paraId="6444DD6A" w14:textId="77777777" w:rsidR="00476E20" w:rsidRDefault="00476E20" w:rsidP="00476E20">
      <w:pPr>
        <w:jc w:val="center"/>
      </w:pPr>
    </w:p>
    <w:p w14:paraId="6444DD6B" w14:textId="77777777" w:rsidR="00476E20" w:rsidRDefault="00476E20" w:rsidP="00476E20">
      <w:pPr>
        <w:jc w:val="center"/>
      </w:pPr>
    </w:p>
    <w:p w14:paraId="6444DD6C" w14:textId="77777777" w:rsidR="00476E20" w:rsidRDefault="00476E20" w:rsidP="00476E20">
      <w:pPr>
        <w:jc w:val="center"/>
      </w:pPr>
    </w:p>
    <w:p w14:paraId="6444DD6D" w14:textId="77777777" w:rsidR="00476E20" w:rsidRDefault="00476E20" w:rsidP="00476E20">
      <w:pPr>
        <w:jc w:val="center"/>
      </w:pPr>
    </w:p>
    <w:p w14:paraId="6444DD6E" w14:textId="77777777" w:rsidR="00476E20" w:rsidRDefault="00476E20" w:rsidP="00476E20">
      <w:pPr>
        <w:jc w:val="center"/>
      </w:pPr>
    </w:p>
    <w:p w14:paraId="6444DD6F" w14:textId="77777777" w:rsidR="00476E20" w:rsidRDefault="00476E20" w:rsidP="00476E20">
      <w:pPr>
        <w:jc w:val="center"/>
      </w:pPr>
    </w:p>
    <w:p w14:paraId="6444DD70" w14:textId="77777777" w:rsidR="00476E20" w:rsidRDefault="00476E20" w:rsidP="00476E20">
      <w:pPr>
        <w:jc w:val="center"/>
      </w:pPr>
    </w:p>
    <w:p w14:paraId="6444DD71" w14:textId="77777777" w:rsidR="00476E20" w:rsidRDefault="00476E20" w:rsidP="00476E20">
      <w:pPr>
        <w:jc w:val="center"/>
      </w:pPr>
    </w:p>
    <w:p w14:paraId="6444DD72" w14:textId="77777777" w:rsidR="00476E20" w:rsidRDefault="00476E20" w:rsidP="00476E20">
      <w:pPr>
        <w:jc w:val="center"/>
      </w:pPr>
    </w:p>
    <w:p w14:paraId="6444DD73" w14:textId="77777777" w:rsidR="00476E20" w:rsidRDefault="00476E20" w:rsidP="00476E20">
      <w:pPr>
        <w:jc w:val="center"/>
      </w:pPr>
    </w:p>
    <w:p w14:paraId="6444DD74" w14:textId="77777777" w:rsidR="00476E20" w:rsidRDefault="00476E20" w:rsidP="00476E20">
      <w:pPr>
        <w:jc w:val="center"/>
      </w:pPr>
    </w:p>
    <w:p w14:paraId="6444DD75" w14:textId="77777777" w:rsidR="00476E20" w:rsidRDefault="00476E20" w:rsidP="00476E20">
      <w:pPr>
        <w:jc w:val="center"/>
      </w:pPr>
    </w:p>
    <w:p w14:paraId="6444DD76" w14:textId="77777777" w:rsidR="00476E20" w:rsidRDefault="00476E20"/>
    <w:p w14:paraId="6444DD77" w14:textId="0E356CF6" w:rsidR="00D81C86" w:rsidRDefault="00A35F18" w:rsidP="00D81C86">
      <w:pPr>
        <w:spacing w:line="480" w:lineRule="auto"/>
        <w:ind w:firstLine="720"/>
        <w:jc w:val="both"/>
      </w:pPr>
      <w:r>
        <w:lastRenderedPageBreak/>
        <w:t>Professionals within their respective workplace</w:t>
      </w:r>
      <w:r w:rsidR="00C91AE3">
        <w:t>s</w:t>
      </w:r>
      <w:r>
        <w:t xml:space="preserve"> tend to have varying outcomes based on how they are engaged</w:t>
      </w:r>
      <w:r w:rsidR="00C91AE3">
        <w:t xml:space="preserve"> </w:t>
      </w:r>
      <w:r>
        <w:t>and the underlying type of work performed. The level of engagement within the workplace defines employee burnout, counter-transference, and development of vicarious trauma. These outcomes occur due to different reasons</w:t>
      </w:r>
      <w:r w:rsidR="00C91AE3">
        <w:t xml:space="preserve"> such as fatigue, depression, anxiety and cognitive changes</w:t>
      </w:r>
      <w:r>
        <w:t>. However, these factors have a related impact on a professional. Counseling professionals are faced with different situations which define the level of engagement. Burnout, counter-transference a vicarious trauma are all possibilities, especially among trauma assisting professionals.</w:t>
      </w:r>
    </w:p>
    <w:p w14:paraId="6444DD78" w14:textId="77777777" w:rsidR="00216D14" w:rsidRDefault="00A35F18" w:rsidP="00D81C86">
      <w:pPr>
        <w:spacing w:line="480" w:lineRule="auto"/>
        <w:ind w:firstLine="720"/>
        <w:jc w:val="both"/>
      </w:pPr>
      <w:r>
        <w:t xml:space="preserve"> Organizations are required to develop better platforms aimed at controlling the wellbeing of employees and ensure that they maintain a high level of professionalism.  The policies and guidelines that are put in place within an organizational context play a key role in improving the needs of all healthcare professionals. Understanding these differences play a significant role in improving the outcomes. It also helps in developing countermeasures to enhance employee engagement. </w:t>
      </w:r>
    </w:p>
    <w:p w14:paraId="6444DD79" w14:textId="2F2B0A9F" w:rsidR="003E2ECB" w:rsidRPr="00457803" w:rsidRDefault="00C91AE3" w:rsidP="00C91AE3">
      <w:pPr>
        <w:spacing w:line="480" w:lineRule="auto"/>
        <w:ind w:firstLine="720"/>
        <w:jc w:val="center"/>
        <w:rPr>
          <w:b/>
          <w:bCs/>
        </w:rPr>
      </w:pPr>
      <w:r w:rsidRPr="00457803">
        <w:rPr>
          <w:b/>
          <w:bCs/>
        </w:rPr>
        <w:t>S</w:t>
      </w:r>
      <w:r w:rsidR="00A35F18" w:rsidRPr="00457803">
        <w:rPr>
          <w:b/>
          <w:bCs/>
        </w:rPr>
        <w:t xml:space="preserve">imilarities </w:t>
      </w:r>
      <w:r w:rsidRPr="00457803">
        <w:rPr>
          <w:b/>
          <w:bCs/>
        </w:rPr>
        <w:t>and Differences Between Vicarious Trauma and Burnout</w:t>
      </w:r>
    </w:p>
    <w:p w14:paraId="6444DD7A" w14:textId="74904747" w:rsidR="00D81C86" w:rsidRDefault="00A35F18" w:rsidP="00D81C86">
      <w:pPr>
        <w:spacing w:line="480" w:lineRule="auto"/>
        <w:ind w:firstLine="720"/>
        <w:jc w:val="both"/>
      </w:pPr>
      <w:r>
        <w:t>Vicarious trauma occurs when the</w:t>
      </w:r>
      <w:r w:rsidR="00C91AE3">
        <w:t xml:space="preserve"> negative experiences</w:t>
      </w:r>
      <w:r>
        <w:t xml:space="preserve"> from clients influence trauma in assisting professionals. These</w:t>
      </w:r>
      <w:r w:rsidR="00C91AE3">
        <w:t xml:space="preserve"> experiences h</w:t>
      </w:r>
      <w:r>
        <w:t xml:space="preserve">ave a detrimental influence on a counselor clinical judgment as well as the underlying relationships that are formed. In vicarious trauma, an individual is not directly involved in the trauma situation but is influenced by the resulting trauma as explained by an individual who had first-hand trauma experience </w:t>
      </w:r>
      <w:r>
        <w:fldChar w:fldCharType="begin" w:fldLock="1"/>
      </w:r>
      <w:r>
        <w:instrText>ADDIN CSL_CITATION {"citationItems":[{"id":"ITEM-1","itemData":{"DOI":"10.1177/0886109913510088","ISSN":"08861099","abstract":"The original framework used by McCann and Pearlman, 1990 was reviewed for relevance by 22 counsellors registered as trauma therapists in New Zealand. As predicted by the vicarious traumatization theory, the counsellors who were interviewed were profoundly impacted by their work with trauma survivors, particularly within the first five years of practice. The experience of vicarious traumatization generated a search for meaning which enabled the counselors to evolve strategies and ways of being that effectively fostered personal and professional resilience. This immersion in trauma, paradoxically, enhanced the participants' ability to 'bounce back' or buffer the more negative effects of the work. Clinical supervision, the use of support, humour, spirituality, and ongoing training were variables identified by the participants as ameliorating vicarious traumatization. © The Author(s) 2013.","author":[{"dropping-particle":"","family":"Pack","given":"Margaret","non-dropping-particle":"","parse-names":false,"suffix":""}],"container-title":"Affilia - Journal of Women and Social Work","id":"ITEM-1","issued":{"date-parts":[["2014"]]},"title":"Vicarious Resilience: A Multilayered Model of Stress and Trauma","type":"article"},"uris":["http://www.mendeley.com/documents/?uuid=a842ff53-312f-43f7-8459-a619937298ff","http://www.mendeley.com/documents/?uuid=0ad0ba7e-3351-4236-b63a-c969ef4aaa78"]}],"mendeley":{"formattedCitation":"(Pack, 2014)","plainTextFormattedCitation":"(Pack, 2014)","previouslyFormattedCitation":"(Pack, 2014)"},"properties":{"noteIndex":0},"schema":"https://github.com/citation-style-language/schema/raw/master/csl-citation.json"}</w:instrText>
      </w:r>
      <w:r>
        <w:fldChar w:fldCharType="separate"/>
      </w:r>
      <w:r w:rsidRPr="00D81C86">
        <w:rPr>
          <w:noProof/>
        </w:rPr>
        <w:t>(Pack, 2014)</w:t>
      </w:r>
      <w:r>
        <w:fldChar w:fldCharType="end"/>
      </w:r>
      <w:r>
        <w:t>.</w:t>
      </w:r>
      <w:r w:rsidR="006405CE">
        <w:t xml:space="preserve"> </w:t>
      </w:r>
    </w:p>
    <w:p w14:paraId="6444DD7B" w14:textId="04583C5A" w:rsidR="003E2ECB" w:rsidRDefault="00A35F18" w:rsidP="00D81C86">
      <w:pPr>
        <w:spacing w:line="480" w:lineRule="auto"/>
        <w:ind w:firstLine="720"/>
        <w:jc w:val="both"/>
      </w:pPr>
      <w:r>
        <w:t xml:space="preserve">Vicarious trauma </w:t>
      </w:r>
      <w:r w:rsidR="00D81C86">
        <w:t>influences</w:t>
      </w:r>
      <w:r>
        <w:t xml:space="preserve"> a counselor's decision making, as well as their wellbeing. Burnout, on the other hand, is an end of compassion fatigue resulting from continuous work without rest or lack of better rest mechanism where an individual can relax and recover. Burnout is mainly mental exhaustion. This can be controlled much more comfortabl</w:t>
      </w:r>
      <w:r w:rsidR="00C91AE3">
        <w:t xml:space="preserve">y </w:t>
      </w:r>
      <w:r>
        <w:t xml:space="preserve">by </w:t>
      </w:r>
      <w:r>
        <w:lastRenderedPageBreak/>
        <w:t xml:space="preserve">ensuring that an individual receives enough rest while undertaking </w:t>
      </w:r>
      <w:r w:rsidR="00D81C86">
        <w:t>exercises</w:t>
      </w:r>
      <w:r>
        <w:t xml:space="preserve"> to improve their mental situation</w:t>
      </w:r>
      <w:r w:rsidR="00C91AE3">
        <w:t>. Understanding issues that influence individual mental situation such as behavioral outcomes play a major role in outlining key processes that define individual wellbeing</w:t>
      </w:r>
      <w:r w:rsidR="00D81C86">
        <w:t xml:space="preserve"> </w:t>
      </w:r>
      <w:r w:rsidR="00D81C86">
        <w:fldChar w:fldCharType="begin" w:fldLock="1"/>
      </w:r>
      <w:r w:rsidR="00D81C86">
        <w:instrText>ADDIN CSL_CITATION {"citationItems":[{"id":"ITEM-1","itemData":{"DOI":"10.1080/15325024.2013.797268","ISSN":"15325032","abstract":"In order to add to the body of research that examines the phenomenon of vicarious posttraumatic growth, this study sought to illuminate the lived experiences of mental health professionals who work on a day-to-day basis with multiply traumatized children and adolescents and, as a result, experience measurably high levels of vicarious trauma and compassion satisfaction. The findings from this qualitative study support positive vicarious experiences derived from trauma work and expose the pathologically focused nature of the profession.","author":[{"dropping-particle":"","family":"Hyatt-Burkhart","given":"Debra","non-dropping-particle":"","parse-names":false,"suffix":""}],"container-title":"Journal of Loss and Trauma","id":"ITEM-1","issued":{"date-parts":[["2014"]]},"title":"The Experience of Vicarious Posttraumatic Growth in Mental Health Workers","type":"article-journal"},"uris":["http://www.mendeley.com/documents/?uuid=72fbf092-5374-402a-9040-b4da6bc38ce5","http://www.mendeley.com/documents/?uuid=4bf18010-c01e-4d81-a678-c218d7da3d59"]}],"mendeley":{"formattedCitation":"(Hyatt-Burkhart, 2014)","plainTextFormattedCitation":"(Hyatt-Burkhart, 2014)","previouslyFormattedCitation":"(Hyatt-Burkhart, 2014)"},"properties":{"noteIndex":0},"schema":"https://github.com/citation-style-language/schema/raw/master/csl-citation.json"}</w:instrText>
      </w:r>
      <w:r w:rsidR="00D81C86">
        <w:fldChar w:fldCharType="separate"/>
      </w:r>
      <w:r w:rsidR="00D81C86" w:rsidRPr="00D81C86">
        <w:rPr>
          <w:noProof/>
        </w:rPr>
        <w:t>(Hyatt-Burkhart, 2014)</w:t>
      </w:r>
      <w:r w:rsidR="00D81C86">
        <w:fldChar w:fldCharType="end"/>
      </w:r>
      <w:r>
        <w:t>. However, vicarious trauma involves a change in individual personality and behavior as a result of interaction with traumatic clients.</w:t>
      </w:r>
    </w:p>
    <w:p w14:paraId="6444DD7C" w14:textId="60727675" w:rsidR="003E2ECB" w:rsidRPr="00457803" w:rsidRDefault="00A35F18" w:rsidP="00457803">
      <w:pPr>
        <w:spacing w:line="480" w:lineRule="auto"/>
        <w:ind w:firstLine="720"/>
        <w:jc w:val="center"/>
        <w:rPr>
          <w:b/>
          <w:bCs/>
        </w:rPr>
      </w:pPr>
      <w:r w:rsidRPr="00457803">
        <w:rPr>
          <w:b/>
          <w:bCs/>
        </w:rPr>
        <w:t>Similarities</w:t>
      </w:r>
    </w:p>
    <w:p w14:paraId="6444DD7D" w14:textId="480FF474" w:rsidR="006405CE" w:rsidRDefault="00A35F18" w:rsidP="00D81C86">
      <w:pPr>
        <w:spacing w:line="480" w:lineRule="auto"/>
        <w:ind w:firstLine="720"/>
        <w:jc w:val="both"/>
      </w:pPr>
      <w:r>
        <w:t>The existing similarities between burnout and vicarious trauma include the fact that both can lead to poor clinical judgment and decision making. There is more significant pressure on individual mental wellbeing in both cases, which create</w:t>
      </w:r>
      <w:r w:rsidR="00C91AE3">
        <w:t>s</w:t>
      </w:r>
      <w:r>
        <w:t xml:space="preserve"> a difficult environment under which it is difficult to offer clients quality services. The symptoms of both burnout and vicarious trauma </w:t>
      </w:r>
      <w:r w:rsidR="00D81C86">
        <w:t>occur</w:t>
      </w:r>
      <w:r>
        <w:t xml:space="preserve"> over time. This means that it is difficult to understand whether a given professional is suffering from burnout or vicarious trauma</w:t>
      </w:r>
      <w:r w:rsidR="00D81C86">
        <w:t xml:space="preserve"> </w:t>
      </w:r>
      <w:r w:rsidR="00D81C86">
        <w:fldChar w:fldCharType="begin" w:fldLock="1"/>
      </w:r>
      <w:r w:rsidR="00D81C86">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fldChar w:fldCharType="separate"/>
      </w:r>
      <w:r w:rsidR="00D81C86" w:rsidRPr="00D81C86">
        <w:rPr>
          <w:noProof/>
        </w:rPr>
        <w:t>(Lowe, 2016)</w:t>
      </w:r>
      <w:r w:rsidR="00D81C86">
        <w:fldChar w:fldCharType="end"/>
      </w:r>
      <w:r>
        <w:t xml:space="preserve">. </w:t>
      </w:r>
    </w:p>
    <w:p w14:paraId="6444DD7E" w14:textId="45F10607" w:rsidR="003E2ECB" w:rsidRPr="00AA133F" w:rsidRDefault="00AA133F" w:rsidP="00AA133F">
      <w:pPr>
        <w:spacing w:line="480" w:lineRule="auto"/>
        <w:jc w:val="center"/>
        <w:rPr>
          <w:b/>
          <w:bCs/>
        </w:rPr>
      </w:pPr>
      <w:r w:rsidRPr="00AA133F">
        <w:rPr>
          <w:b/>
          <w:bCs/>
        </w:rPr>
        <w:t>S</w:t>
      </w:r>
      <w:r w:rsidR="00A35F18" w:rsidRPr="00AA133F">
        <w:rPr>
          <w:b/>
          <w:bCs/>
        </w:rPr>
        <w:t xml:space="preserve">imilarities </w:t>
      </w:r>
      <w:r>
        <w:rPr>
          <w:b/>
          <w:bCs/>
        </w:rPr>
        <w:t>a</w:t>
      </w:r>
      <w:r w:rsidRPr="00AA133F">
        <w:rPr>
          <w:b/>
          <w:bCs/>
        </w:rPr>
        <w:t xml:space="preserve">nd Differences </w:t>
      </w:r>
      <w:r>
        <w:rPr>
          <w:b/>
          <w:bCs/>
        </w:rPr>
        <w:t>b</w:t>
      </w:r>
      <w:r w:rsidRPr="00AA133F">
        <w:rPr>
          <w:b/>
          <w:bCs/>
        </w:rPr>
        <w:t xml:space="preserve">etween Vicarious Trauma </w:t>
      </w:r>
      <w:r>
        <w:rPr>
          <w:b/>
          <w:bCs/>
        </w:rPr>
        <w:t>a</w:t>
      </w:r>
      <w:r w:rsidRPr="00AA133F">
        <w:rPr>
          <w:b/>
          <w:bCs/>
        </w:rPr>
        <w:t>nd Counter-Transference</w:t>
      </w:r>
    </w:p>
    <w:p w14:paraId="6444DD7F" w14:textId="28E8C23E" w:rsidR="006405CE" w:rsidRDefault="00A35F18" w:rsidP="00D81C86">
      <w:pPr>
        <w:spacing w:line="480" w:lineRule="auto"/>
        <w:ind w:firstLine="720"/>
        <w:jc w:val="both"/>
      </w:pPr>
      <w:r>
        <w:t xml:space="preserve">The healthcare environment is faced with various challenges which tend to limit the overall ability to attain improved </w:t>
      </w:r>
      <w:r w:rsidR="00C91AE3">
        <w:t xml:space="preserve"> behavioral and mental wellbeing.</w:t>
      </w:r>
      <w:r>
        <w:t xml:space="preserve"> Therapists are faced with different situations that limit their overall ability to achieving enhanced results. counter-transference occurs when a therapist transfers his or her emotions to a client</w:t>
      </w:r>
      <w:r w:rsidR="00D81C86">
        <w:t xml:space="preserve"> </w:t>
      </w:r>
      <w:r w:rsidR="00D81C86">
        <w:fldChar w:fldCharType="begin" w:fldLock="1"/>
      </w:r>
      <w:r w:rsidR="00D81C86">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Caregivers","type":"article-journal"},"uris":["http://www.mendeley.com/documents/?uuid=513fba63-5362-4593-85c1-09a8b9ecf751","http://www.mendeley.com/documents/?uuid=ee186173-dd50-4977-95d9-d9b61818e45a"]}],"mendeley":{"formattedCitation":"(Lowe,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fldChar w:fldCharType="separate"/>
      </w:r>
      <w:r w:rsidR="00D81C86" w:rsidRPr="00D81C86">
        <w:rPr>
          <w:noProof/>
        </w:rPr>
        <w:t>(Lowe, 2016)</w:t>
      </w:r>
      <w:r w:rsidR="00D81C86">
        <w:fldChar w:fldCharType="end"/>
      </w:r>
      <w:r>
        <w:t>. Such cases arise when a therapist has been effectively influenced by the challenges facing some of the clients. The therapist, in this case, fails to follow the professional guidelines and provision</w:t>
      </w:r>
      <w:r w:rsidR="00C91AE3">
        <w:t xml:space="preserve"> that explain the existing limits on how specific personal experiences and  can have a negative influence on the underlying relationship.</w:t>
      </w:r>
      <w:r>
        <w:t xml:space="preserve"> </w:t>
      </w:r>
    </w:p>
    <w:p w14:paraId="6444DD80" w14:textId="42D151C7" w:rsidR="00A07C04" w:rsidRDefault="00A35F18" w:rsidP="00D81C86">
      <w:pPr>
        <w:spacing w:line="480" w:lineRule="auto"/>
        <w:ind w:firstLine="720"/>
        <w:jc w:val="both"/>
      </w:pPr>
      <w:r>
        <w:t xml:space="preserve">Vicarious trauma can lead to counter-transference. The needs of their clients influence a therapist. They are likely to show their emotions to other clients, which limit the successful delivery of care. A therapist is expected to understand the difference between </w:t>
      </w:r>
      <w:r w:rsidR="00C91AE3">
        <w:t xml:space="preserve">former client </w:t>
      </w:r>
      <w:r w:rsidR="00C91AE3">
        <w:lastRenderedPageBreak/>
        <w:t>experiences</w:t>
      </w:r>
      <w:r>
        <w:t xml:space="preserve"> that can help in a given case as well as other</w:t>
      </w:r>
      <w:r w:rsidR="00C91AE3">
        <w:t xml:space="preserve"> experiences th</w:t>
      </w:r>
      <w:r>
        <w:t xml:space="preserve">at are unable to help improve individual development. </w:t>
      </w:r>
      <w:r w:rsidR="00C91AE3">
        <w:t>Co</w:t>
      </w:r>
      <w:r>
        <w:t>unter-transferences can be controlled by a therapist to ensure that they help in therapy references. However, vicarious trauma is mainly adverse outcomes which limit the ability of a therapist to offer quality services</w:t>
      </w:r>
      <w:r w:rsidR="00D81C86">
        <w:t xml:space="preserve"> </w:t>
      </w:r>
      <w:r w:rsidR="00D81C86">
        <w:fldChar w:fldCharType="begin" w:fldLock="1"/>
      </w:r>
      <w:r w:rsidR="00D81C86">
        <w:instrText>ADDIN CSL_CITATION {"citationItems":[{"id":"ITEM-1","itemData":{"DOI":"10.1080/08897077.2016.1181695","ISSN":"15470164","abstract":"Background: Practitioners working with clients who have experienced trauma are vulnerable to experiencing both vicarious trauma and vicarious posttraumatic growth (PTG). A survey was conducted in which treatment providers who work with adults seeking help for substance abuse were asked about their experience of vicarious trauma and vicarious PTG. It was hypothesized that vicarious trauma and vicarious PTG would be positively associated with each other, that personal history of trauma and years of working with clients who had experienced trauma would be positively associated with vicarious trauma, and that in addition to those variables, personal counseling, training, and supervision would be associated with vicarious PTG. Methods: Surveys were sent to the directors of 15 social service agencies in one county in central California. Surveys included questions about the respondent's history of substance use and trauma and experience with clients who had experienced trauma. In addition, the survey con...","author":[{"dropping-particle":"","family":"Cosden","given":"Merith","non-dropping-particle":"","parse-names":false,"suffix":""},{"dropping-particle":"","family":"Sanford","given":"Ashley","non-dropping-particle":"","parse-names":false,"suffix":""},{"dropping-particle":"","family":"Koch","given":"Lauren M.","non-dropping-particle":"","parse-names":false,"suffix":""},{"dropping-particle":"","family":"Lepore","given":"Caitlin E.","non-dropping-particle":"","parse-names":false,"suffix":""}],"container-title":"Substance Abuse","id":"ITEM-1","issued":{"date-parts":[["2016"]]},"title":"Vicarious trauma and vicarious posttraumatic growth among substance abuse treatment providers","type":"article-journal"},"uris":["http://www.mendeley.com/documents/?uuid=e9eae67e-0478-4144-9dae-272a2b5deeea","http://www.mendeley.com/documents/?uuid=ee009a19-6c59-4392-ad7a-33b7e14b2dd6"]}],"mendeley":{"formattedCitation":"(Cosden, Sanford, Koch, &amp; Lepore, 2016)","plainTextFormattedCitation":"(Cosden, Sanford, Koch, &amp; Lepore, 2016)","previouslyFormattedCitation":"(Cosden, Sanford, Koch, &amp; Lepore, 2016)"},"properties":{"noteIndex":0},"schema":"https://github.com/citation-style-language/schema/raw/master/csl-citation.json"}</w:instrText>
      </w:r>
      <w:r w:rsidR="00D81C86">
        <w:fldChar w:fldCharType="separate"/>
      </w:r>
      <w:r w:rsidR="00D81C86" w:rsidRPr="00D81C86">
        <w:rPr>
          <w:noProof/>
        </w:rPr>
        <w:t>(Cosden, Sanford, Koch, &amp; Lepore, 2016)</w:t>
      </w:r>
      <w:r w:rsidR="00D81C86">
        <w:fldChar w:fldCharType="end"/>
      </w:r>
      <w:r>
        <w:t>.</w:t>
      </w:r>
    </w:p>
    <w:p w14:paraId="6444DD81" w14:textId="7A2C73A5" w:rsidR="00A07C04" w:rsidRPr="00C91AE3" w:rsidRDefault="00C91AE3" w:rsidP="00C91AE3">
      <w:pPr>
        <w:spacing w:line="480" w:lineRule="auto"/>
        <w:jc w:val="center"/>
        <w:rPr>
          <w:b/>
          <w:bCs/>
        </w:rPr>
      </w:pPr>
      <w:r w:rsidRPr="00C91AE3">
        <w:rPr>
          <w:b/>
          <w:bCs/>
        </w:rPr>
        <w:t>I</w:t>
      </w:r>
      <w:r w:rsidR="00A35F18" w:rsidRPr="00C91AE3">
        <w:rPr>
          <w:b/>
          <w:bCs/>
        </w:rPr>
        <w:t xml:space="preserve">mplications </w:t>
      </w:r>
      <w:r w:rsidRPr="00C91AE3">
        <w:rPr>
          <w:b/>
          <w:bCs/>
        </w:rPr>
        <w:t xml:space="preserve">Vicarious Trauma </w:t>
      </w:r>
      <w:r>
        <w:rPr>
          <w:b/>
          <w:bCs/>
        </w:rPr>
        <w:t>m</w:t>
      </w:r>
      <w:r w:rsidRPr="00C91AE3">
        <w:rPr>
          <w:b/>
          <w:bCs/>
        </w:rPr>
        <w:t xml:space="preserve">ight </w:t>
      </w:r>
      <w:r>
        <w:rPr>
          <w:b/>
          <w:bCs/>
        </w:rPr>
        <w:t>h</w:t>
      </w:r>
      <w:r w:rsidRPr="00C91AE3">
        <w:rPr>
          <w:b/>
          <w:bCs/>
        </w:rPr>
        <w:t xml:space="preserve">ave </w:t>
      </w:r>
      <w:r>
        <w:rPr>
          <w:b/>
          <w:bCs/>
        </w:rPr>
        <w:t>o</w:t>
      </w:r>
      <w:r w:rsidRPr="00C91AE3">
        <w:rPr>
          <w:b/>
          <w:bCs/>
        </w:rPr>
        <w:t xml:space="preserve">n </w:t>
      </w:r>
      <w:r>
        <w:rPr>
          <w:b/>
          <w:bCs/>
        </w:rPr>
        <w:t>t</w:t>
      </w:r>
      <w:r w:rsidRPr="00C91AE3">
        <w:rPr>
          <w:b/>
          <w:bCs/>
        </w:rPr>
        <w:t>he Counseling Process</w:t>
      </w:r>
    </w:p>
    <w:p w14:paraId="6444DD82" w14:textId="574FA839" w:rsidR="00A07C04" w:rsidRDefault="00A35F18" w:rsidP="00D81C86">
      <w:pPr>
        <w:spacing w:line="480" w:lineRule="auto"/>
        <w:ind w:firstLine="720"/>
        <w:jc w:val="both"/>
      </w:pPr>
      <w:r>
        <w:t xml:space="preserve">Vicarious trauma </w:t>
      </w:r>
      <w:r w:rsidR="00D81C86">
        <w:t>influences</w:t>
      </w:r>
      <w:r>
        <w:t xml:space="preserve"> the ability of a trauma</w:t>
      </w:r>
      <w:r w:rsidR="00C91AE3">
        <w:t>-a</w:t>
      </w:r>
      <w:r>
        <w:t>ssisting professionals from performing their duties successfully due to mental and behavioral influence</w:t>
      </w:r>
      <w:r w:rsidR="00C91AE3">
        <w:t>s</w:t>
      </w:r>
      <w:r>
        <w:t xml:space="preserve">.  When a therapist has vicarious trauma, </w:t>
      </w:r>
      <w:r w:rsidR="00C91AE3">
        <w:t xml:space="preserve">it </w:t>
      </w:r>
      <w:r>
        <w:t xml:space="preserve">is difficult to make better decisions because their </w:t>
      </w:r>
      <w:r w:rsidR="00D81C86">
        <w:t>decisions</w:t>
      </w:r>
      <w:r>
        <w:t xml:space="preserve"> are based on how they feel rather than evaluating each situation differently and employing a high level of professionalism. Clinical judgment is essential in any therapeutic environment. Therefore, therapists must control their emotions when offering professional help to clients with trauma disorders</w:t>
      </w:r>
      <w:r w:rsidR="00D81C86">
        <w:t xml:space="preserve"> </w:t>
      </w:r>
      <w:r w:rsidR="00D81C86">
        <w:fldChar w:fldCharType="begin" w:fldLock="1"/>
      </w:r>
      <w:r w:rsidR="00AA133F">
        <w:instrText>ADDIN CSL_CITATION {"citationItems":[{"id":"ITEM-1","itemData":{"DOI":"10.1080/08841233.2015.1030059","ISSN":"15407349","abstract":"This article presents the starting case for applying the elements of trauma-informed care (TIC) to education and outlines the authors' initial efforts to develop guidelines for what they call trauma-informed educational practice. To this end, the article starts with a literature review related to the potential for vicarious traumatization and retraumatization among students in clinical training, followed by a discussion of the TIC framework and past efforts to be trauma sensitive in social work education. The authors then describe what drew them to this perspective and inspired them to apply it to educational practice. They then present guidelines for implementing the trauma-informed principle of safety in the classroom in several domains.","author":[{"dropping-particle":"","family":"Carello","given":"Janice","non-dropping-particle":"","parse-names":false,"suffix":""},{"dropping-particle":"","family":"Butler","given":"Lisa D.","non-dropping-particle":"","parse-names":false,"suffix":""}],"container-title":"Journal of Teaching in Social Work","id":"ITEM-1","issued":{"date-parts":[["2015"]]},"title":"Practicing what we teach: Trauma-informed educational practice","type":"article-journal"},"uris":["http://www.mendeley.com/documents/?uuid=79f4178c-57a6-4312-893f-d65dcf027ee6","http://www.mendeley.com/documents/?uuid=87222415-b3a9-48b9-a809-e72de9f96b03"]}],"mendeley":{"formattedCitation":"(Carello &amp; Butler, 2015)","plainTextFormattedCitation":"(Carello &amp; Butler, 2015)","previouslyFormattedCitation":"(Carello &amp; Butler, 2015)"},"properties":{"noteIndex":0},"schema":"https://github.com/citation-style-language/schema/raw/master/csl-citation.json"}</w:instrText>
      </w:r>
      <w:r w:rsidR="00D81C86">
        <w:fldChar w:fldCharType="separate"/>
      </w:r>
      <w:r w:rsidR="00D81C86" w:rsidRPr="00D81C86">
        <w:rPr>
          <w:noProof/>
        </w:rPr>
        <w:t>(Carello &amp; Butler, 2015)</w:t>
      </w:r>
      <w:r w:rsidR="00D81C86">
        <w:fldChar w:fldCharType="end"/>
      </w:r>
      <w:r>
        <w:t>.</w:t>
      </w:r>
    </w:p>
    <w:p w14:paraId="6444DD83" w14:textId="46D78222" w:rsidR="00C43BC5" w:rsidRDefault="00A35F18" w:rsidP="00D81C86">
      <w:pPr>
        <w:spacing w:line="480" w:lineRule="auto"/>
        <w:ind w:firstLine="720"/>
        <w:jc w:val="both"/>
      </w:pPr>
      <w:r>
        <w:t xml:space="preserve">Vicarious trauma leads to a negative relationship between a therapist and a client. This is due to the failure of a therapist to understand the feelings of the client and focus on solving how they feel but base on their emotions and negative effects to influence their decision making. When a counselor is unable to </w:t>
      </w:r>
      <w:r w:rsidR="00476E20">
        <w:t xml:space="preserve">understand his or her feelings, it is difficult to </w:t>
      </w:r>
      <w:r w:rsidR="00AA133F">
        <w:t xml:space="preserve">make better clinical decisions. </w:t>
      </w:r>
      <w:r w:rsidR="00476E20">
        <w:t>Therefore vicarious trauma limits the successful implementation of healthcare outcomes in patients with mental health issues</w:t>
      </w:r>
      <w:r w:rsidR="00D81C86">
        <w:t xml:space="preserve"> </w:t>
      </w:r>
      <w:r w:rsidR="00D81C86">
        <w:fldChar w:fldCharType="begin" w:fldLock="1"/>
      </w:r>
      <w:r w:rsidR="00D81C86">
        <w:instrText>ADDIN CSL_CITATION {"citationItems":[{"id":"ITEM-1","itemData":{"ISSN":"0419-4217","abstract":"Mental health counselors are constantly challenged with allowing themselves to be human, maintain empathy, and remain clinically sound while working with diverse client populations; including those that have been convicted of crimes. There has been limited research conducted on counseling professionals and their provision of treatment services to violent female offenders. The purpose of this study was to explore the personal attitudes, values, and expectations of clinicians working with this population, and whether or not the provision of therapeutic services is affected by personal perceptions and biases. In addition, this study aimed to add to the limited literature on violent female offenders and promote future research into the needs of this group of women and the mental health professionals who serve them. This exploration of therapist perception allowed for greater understanding of how issues such as stigma, gender-role stereotypes, and bias held towards this population impact the counseling relationship. This study utilized a phenomenological research design where the researcher was the primary instrument of data collection. The sample consisted of 10 participants: five licensed professional counselors, four associate licensed professional counselors, and one master's level counselor in training. Face to face, semi-structured interviews were conducted where tailored research questions explored the influence of therapist perception on the experience of establishing rapport, assessment, and treatment of this population. The analysis of participant responses led to the emergence of six major themes a) genuineness/authenticity, b) counselor diversity, c) empathy, d) experience, e) supervision and consultation, and f) self-care. The significant finding of this study was the recognition that counselors' self-awareness about their own negative perceptions could assist with reducing barriers to forming the therapeutic alliance with this population. The results of this study are relevant to counselor education programs and supervisors as it provides a greater understanding and meaning of the therapists' conceptualization of their experiences of their work with violent female offenders. This study also encourages further research into offender perception of treatment services, as well as preventative measures to reduce rates of burnout, vicarious trauma, and counter-transference amongst counselors in training and licensed counselors who are working with th…","author":[{"dropping-particle":"","family":"Cunningham","given":"Giselle S","non-dropping-particle":"","parse-names":false,"suffix":""}],"container-title":"Dissertation Abstracts International: Section B: The Sciences and Engineering","id":"ITEM-1","issued":{"date-parts":[["2017"]]},"title":"An exploratory study of therapists' perceptions about violent female offenders and their influence on the provision of therapeutic services.","type":"article-journal"},"uris":["http://www.mendeley.com/documents/?uuid=f5f5f0d6-6c11-4c5b-b98d-6390f6e1d5ed","http://www.mendeley.com/documents/?uuid=97d4edc8-b7e0-434c-be77-5689e0b3e619"]}],"mendeley":{"formattedCitation":"(Cunningham, 2017)","plainTextFormattedCitation":"(Cunningham, 2017)","previouslyFormattedCitation":"(Cunningham, 2017)"},"properties":{"noteIndex":0},"schema":"https://github.com/citation-style-language/schema/raw/master/csl-citation.json"}</w:instrText>
      </w:r>
      <w:r w:rsidR="00D81C86">
        <w:fldChar w:fldCharType="separate"/>
      </w:r>
      <w:r w:rsidR="00D81C86" w:rsidRPr="00D81C86">
        <w:rPr>
          <w:noProof/>
        </w:rPr>
        <w:t>(Cunningham, 2017)</w:t>
      </w:r>
      <w:r w:rsidR="00D81C86">
        <w:fldChar w:fldCharType="end"/>
      </w:r>
      <w:r w:rsidR="00476E20">
        <w:t>.</w:t>
      </w:r>
    </w:p>
    <w:p w14:paraId="6444DD84" w14:textId="77777777" w:rsidR="00A07C04" w:rsidRDefault="00A35F18" w:rsidP="00D81C86">
      <w:pPr>
        <w:spacing w:line="480" w:lineRule="auto"/>
        <w:jc w:val="both"/>
      </w:pPr>
      <w:r w:rsidRPr="00A07C04">
        <w:t>Explain one insight you had or conclusion you drew for each comparison. Be specific.</w:t>
      </w:r>
    </w:p>
    <w:p w14:paraId="6444DD85" w14:textId="77777777" w:rsidR="00476E20" w:rsidRPr="00A07C04" w:rsidRDefault="00A35F18" w:rsidP="00D81C86">
      <w:pPr>
        <w:spacing w:line="480" w:lineRule="auto"/>
        <w:ind w:firstLine="720"/>
        <w:jc w:val="both"/>
      </w:pPr>
      <w:r>
        <w:t xml:space="preserve">From the assessment of vicarious trauma, burnout, and counter-transference, it is clear that the development of these conditions limits the ability of a healthcare professional to offer quality care. However, each condition has a different influence on individual performance </w:t>
      </w:r>
      <w:r>
        <w:lastRenderedPageBreak/>
        <w:t>ranging from physical, psychological, and behavioral. Improving the quality of service delivery in a counseling environment require control of these conditions.</w:t>
      </w:r>
    </w:p>
    <w:p w14:paraId="6444DD87" w14:textId="54A83807" w:rsidR="00A07C04" w:rsidRDefault="00A07C04">
      <w:pPr>
        <w:rPr>
          <w:color w:val="FF0000"/>
        </w:rPr>
      </w:pPr>
    </w:p>
    <w:p w14:paraId="547A510A" w14:textId="7383C712" w:rsidR="00AA133F" w:rsidRDefault="00AA133F">
      <w:pPr>
        <w:rPr>
          <w:color w:val="FF0000"/>
        </w:rPr>
      </w:pPr>
    </w:p>
    <w:p w14:paraId="2178E099" w14:textId="354D0627" w:rsidR="00AA133F" w:rsidRDefault="00AA133F">
      <w:pPr>
        <w:rPr>
          <w:color w:val="FF0000"/>
        </w:rPr>
      </w:pPr>
    </w:p>
    <w:p w14:paraId="66F1E553" w14:textId="68F79537" w:rsidR="00AA133F" w:rsidRDefault="00AA133F">
      <w:pPr>
        <w:rPr>
          <w:color w:val="FF0000"/>
        </w:rPr>
      </w:pPr>
    </w:p>
    <w:p w14:paraId="7D2446AE" w14:textId="73B86A08" w:rsidR="00AA133F" w:rsidRDefault="00AA133F">
      <w:pPr>
        <w:rPr>
          <w:color w:val="FF0000"/>
        </w:rPr>
      </w:pPr>
    </w:p>
    <w:p w14:paraId="04C8B99C" w14:textId="23853D29" w:rsidR="00AA133F" w:rsidRDefault="00AA133F">
      <w:pPr>
        <w:rPr>
          <w:color w:val="FF0000"/>
        </w:rPr>
      </w:pPr>
    </w:p>
    <w:p w14:paraId="49881D2B" w14:textId="05D3DB35" w:rsidR="00AA133F" w:rsidRDefault="00AA133F">
      <w:pPr>
        <w:rPr>
          <w:color w:val="FF0000"/>
        </w:rPr>
      </w:pPr>
    </w:p>
    <w:p w14:paraId="2B8D38E7" w14:textId="63CCB5AE" w:rsidR="00AA133F" w:rsidRDefault="00AA133F">
      <w:pPr>
        <w:rPr>
          <w:color w:val="FF0000"/>
        </w:rPr>
      </w:pPr>
    </w:p>
    <w:p w14:paraId="3F62C427" w14:textId="4B0BF43E" w:rsidR="00AA133F" w:rsidRDefault="00AA133F">
      <w:pPr>
        <w:rPr>
          <w:color w:val="FF0000"/>
        </w:rPr>
      </w:pPr>
    </w:p>
    <w:p w14:paraId="24A5D3D4" w14:textId="08BC35AD" w:rsidR="00AA133F" w:rsidRDefault="00AA133F">
      <w:pPr>
        <w:rPr>
          <w:color w:val="FF0000"/>
        </w:rPr>
      </w:pPr>
    </w:p>
    <w:p w14:paraId="3763D02A" w14:textId="0B35BC71" w:rsidR="00AA133F" w:rsidRDefault="00AA133F">
      <w:pPr>
        <w:rPr>
          <w:color w:val="FF0000"/>
        </w:rPr>
      </w:pPr>
    </w:p>
    <w:p w14:paraId="278B0515" w14:textId="1B4EBBCA" w:rsidR="00AA133F" w:rsidRDefault="00AA133F">
      <w:pPr>
        <w:rPr>
          <w:color w:val="FF0000"/>
        </w:rPr>
      </w:pPr>
    </w:p>
    <w:p w14:paraId="368700F6" w14:textId="743CA944" w:rsidR="00AA133F" w:rsidRDefault="00AA133F">
      <w:pPr>
        <w:rPr>
          <w:color w:val="FF0000"/>
        </w:rPr>
      </w:pPr>
    </w:p>
    <w:p w14:paraId="563695FB" w14:textId="072496D4" w:rsidR="00AA133F" w:rsidRDefault="00AA133F">
      <w:pPr>
        <w:rPr>
          <w:color w:val="FF0000"/>
        </w:rPr>
      </w:pPr>
    </w:p>
    <w:p w14:paraId="21BAF1EC" w14:textId="1BDFB956" w:rsidR="00AA133F" w:rsidRDefault="00AA133F">
      <w:pPr>
        <w:rPr>
          <w:color w:val="FF0000"/>
        </w:rPr>
      </w:pPr>
    </w:p>
    <w:p w14:paraId="70D5E078" w14:textId="58115FB1" w:rsidR="00AA133F" w:rsidRDefault="00AA133F">
      <w:pPr>
        <w:rPr>
          <w:color w:val="FF0000"/>
        </w:rPr>
      </w:pPr>
    </w:p>
    <w:p w14:paraId="2D90EC22" w14:textId="2BBF9E3C" w:rsidR="00AA133F" w:rsidRDefault="00AA133F">
      <w:pPr>
        <w:rPr>
          <w:color w:val="FF0000"/>
        </w:rPr>
      </w:pPr>
    </w:p>
    <w:p w14:paraId="71261B04" w14:textId="5DE763A2" w:rsidR="00AA133F" w:rsidRDefault="00AA133F">
      <w:pPr>
        <w:rPr>
          <w:color w:val="FF0000"/>
        </w:rPr>
      </w:pPr>
    </w:p>
    <w:p w14:paraId="10E62F5F" w14:textId="69B40A1A" w:rsidR="00AA133F" w:rsidRDefault="00AA133F">
      <w:pPr>
        <w:rPr>
          <w:color w:val="FF0000"/>
        </w:rPr>
      </w:pPr>
    </w:p>
    <w:p w14:paraId="3AF4894C" w14:textId="5243FA21" w:rsidR="00AA133F" w:rsidRDefault="00AA133F">
      <w:pPr>
        <w:rPr>
          <w:color w:val="FF0000"/>
        </w:rPr>
      </w:pPr>
    </w:p>
    <w:p w14:paraId="14DFB5CF" w14:textId="654E764D" w:rsidR="00AA133F" w:rsidRDefault="00AA133F">
      <w:pPr>
        <w:rPr>
          <w:color w:val="FF0000"/>
        </w:rPr>
      </w:pPr>
    </w:p>
    <w:p w14:paraId="0E1D5958" w14:textId="16F931A1" w:rsidR="00AA133F" w:rsidRDefault="00AA133F">
      <w:pPr>
        <w:rPr>
          <w:color w:val="FF0000"/>
        </w:rPr>
      </w:pPr>
    </w:p>
    <w:p w14:paraId="70F1AADA" w14:textId="02346456" w:rsidR="00AA133F" w:rsidRDefault="00AA133F">
      <w:pPr>
        <w:rPr>
          <w:color w:val="FF0000"/>
        </w:rPr>
      </w:pPr>
    </w:p>
    <w:p w14:paraId="2EF9E387" w14:textId="439A72EF" w:rsidR="00AA133F" w:rsidRDefault="00AA133F">
      <w:pPr>
        <w:rPr>
          <w:color w:val="FF0000"/>
        </w:rPr>
      </w:pPr>
    </w:p>
    <w:p w14:paraId="173810D8" w14:textId="5CEAF606" w:rsidR="00AA133F" w:rsidRDefault="00AA133F">
      <w:pPr>
        <w:rPr>
          <w:color w:val="FF0000"/>
        </w:rPr>
      </w:pPr>
    </w:p>
    <w:p w14:paraId="3CED2FED" w14:textId="72547894" w:rsidR="00AA133F" w:rsidRDefault="00AA133F">
      <w:pPr>
        <w:rPr>
          <w:color w:val="FF0000"/>
        </w:rPr>
      </w:pPr>
    </w:p>
    <w:p w14:paraId="2DA2ABAB" w14:textId="54A09A28" w:rsidR="00AA133F" w:rsidRDefault="00AA133F">
      <w:pPr>
        <w:rPr>
          <w:color w:val="FF0000"/>
        </w:rPr>
      </w:pPr>
    </w:p>
    <w:p w14:paraId="3046E4F9" w14:textId="2ACAE246" w:rsidR="00AA133F" w:rsidRDefault="00AA133F">
      <w:pPr>
        <w:rPr>
          <w:color w:val="FF0000"/>
        </w:rPr>
      </w:pPr>
    </w:p>
    <w:p w14:paraId="44576BA6" w14:textId="68C99F6F" w:rsidR="00AA133F" w:rsidRDefault="00AA133F">
      <w:pPr>
        <w:rPr>
          <w:color w:val="FF0000"/>
        </w:rPr>
      </w:pPr>
    </w:p>
    <w:p w14:paraId="19F66741" w14:textId="2A98DB74" w:rsidR="00AA133F" w:rsidRPr="00AA133F" w:rsidRDefault="00AA133F" w:rsidP="00AA133F">
      <w:pPr>
        <w:spacing w:line="480" w:lineRule="auto"/>
        <w:jc w:val="center"/>
        <w:rPr>
          <w:b/>
          <w:bCs/>
        </w:rPr>
      </w:pPr>
      <w:r w:rsidRPr="00AA133F">
        <w:rPr>
          <w:b/>
          <w:bCs/>
        </w:rPr>
        <w:t>References</w:t>
      </w:r>
    </w:p>
    <w:p w14:paraId="16977617" w14:textId="68DE1357" w:rsidR="00AA133F" w:rsidRPr="00AA133F" w:rsidRDefault="00AA133F" w:rsidP="00AA133F">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AA133F">
        <w:rPr>
          <w:rFonts w:cs="Times New Roman"/>
          <w:noProof/>
          <w:szCs w:val="24"/>
        </w:rPr>
        <w:t xml:space="preserve">Carello, J., &amp; Butler, L. D. (2015). Practicing what we teach: Trauma-informed educational practice. </w:t>
      </w:r>
      <w:r w:rsidRPr="00AA133F">
        <w:rPr>
          <w:rFonts w:cs="Times New Roman"/>
          <w:i/>
          <w:iCs/>
          <w:noProof/>
          <w:szCs w:val="24"/>
        </w:rPr>
        <w:t>Journal of Teaching in Social Work</w:t>
      </w:r>
      <w:r w:rsidRPr="00AA133F">
        <w:rPr>
          <w:rFonts w:cs="Times New Roman"/>
          <w:noProof/>
          <w:szCs w:val="24"/>
        </w:rPr>
        <w:t>. https://doi.org/10.1080/08841233.2015.1030059</w:t>
      </w:r>
    </w:p>
    <w:p w14:paraId="4B9A0840" w14:textId="77777777" w:rsidR="00AA133F" w:rsidRPr="00AA133F" w:rsidRDefault="00AA133F" w:rsidP="00AA133F">
      <w:pPr>
        <w:widowControl w:val="0"/>
        <w:autoSpaceDE w:val="0"/>
        <w:autoSpaceDN w:val="0"/>
        <w:adjustRightInd w:val="0"/>
        <w:spacing w:line="480" w:lineRule="auto"/>
        <w:ind w:left="480" w:hanging="480"/>
        <w:rPr>
          <w:rFonts w:cs="Times New Roman"/>
          <w:noProof/>
          <w:szCs w:val="24"/>
        </w:rPr>
      </w:pPr>
      <w:r w:rsidRPr="00AA133F">
        <w:rPr>
          <w:rFonts w:cs="Times New Roman"/>
          <w:noProof/>
          <w:szCs w:val="24"/>
        </w:rPr>
        <w:t xml:space="preserve">Cosden, M., Sanford, A., Koch, L. M., &amp; Lepore, C. E. (2016). Vicarious trauma and vicarious posttraumatic growth among substance abuse treatment providers. </w:t>
      </w:r>
      <w:r w:rsidRPr="00AA133F">
        <w:rPr>
          <w:rFonts w:cs="Times New Roman"/>
          <w:i/>
          <w:iCs/>
          <w:noProof/>
          <w:szCs w:val="24"/>
        </w:rPr>
        <w:t>Substance Abuse</w:t>
      </w:r>
      <w:r w:rsidRPr="00AA133F">
        <w:rPr>
          <w:rFonts w:cs="Times New Roman"/>
          <w:noProof/>
          <w:szCs w:val="24"/>
        </w:rPr>
        <w:t>. https://doi.org/10.1080/08897077.2016.1181695</w:t>
      </w:r>
    </w:p>
    <w:p w14:paraId="6F3B6C6B" w14:textId="77777777" w:rsidR="00AA133F" w:rsidRPr="00AA133F" w:rsidRDefault="00AA133F" w:rsidP="00AA133F">
      <w:pPr>
        <w:widowControl w:val="0"/>
        <w:autoSpaceDE w:val="0"/>
        <w:autoSpaceDN w:val="0"/>
        <w:adjustRightInd w:val="0"/>
        <w:spacing w:line="480" w:lineRule="auto"/>
        <w:ind w:left="480" w:hanging="480"/>
        <w:rPr>
          <w:rFonts w:cs="Times New Roman"/>
          <w:noProof/>
          <w:szCs w:val="24"/>
        </w:rPr>
      </w:pPr>
      <w:r w:rsidRPr="00AA133F">
        <w:rPr>
          <w:rFonts w:cs="Times New Roman"/>
          <w:noProof/>
          <w:szCs w:val="24"/>
        </w:rPr>
        <w:t xml:space="preserve">Cunningham, G. S. (2017). An exploratory study of therapists’ perceptions about violent female offenders and their influence on the provision of therapeutic services. </w:t>
      </w:r>
      <w:r w:rsidRPr="00AA133F">
        <w:rPr>
          <w:rFonts w:cs="Times New Roman"/>
          <w:i/>
          <w:iCs/>
          <w:noProof/>
          <w:szCs w:val="24"/>
        </w:rPr>
        <w:t>Dissertation Abstracts International: Section B: The Sciences and Engineering</w:t>
      </w:r>
      <w:r w:rsidRPr="00AA133F">
        <w:rPr>
          <w:rFonts w:cs="Times New Roman"/>
          <w:noProof/>
          <w:szCs w:val="24"/>
        </w:rPr>
        <w:t>.</w:t>
      </w:r>
    </w:p>
    <w:p w14:paraId="55BB37A9" w14:textId="77777777" w:rsidR="00AA133F" w:rsidRPr="00AA133F" w:rsidRDefault="00AA133F" w:rsidP="00AA133F">
      <w:pPr>
        <w:widowControl w:val="0"/>
        <w:autoSpaceDE w:val="0"/>
        <w:autoSpaceDN w:val="0"/>
        <w:adjustRightInd w:val="0"/>
        <w:spacing w:line="480" w:lineRule="auto"/>
        <w:ind w:left="480" w:hanging="480"/>
        <w:rPr>
          <w:rFonts w:cs="Times New Roman"/>
          <w:noProof/>
          <w:szCs w:val="24"/>
        </w:rPr>
      </w:pPr>
      <w:r w:rsidRPr="00AA133F">
        <w:rPr>
          <w:rFonts w:cs="Times New Roman"/>
          <w:noProof/>
          <w:szCs w:val="24"/>
        </w:rPr>
        <w:t xml:space="preserve">Hyatt-Burkhart, D. (2014). The Experience of Vicarious Posttraumatic Growth in Mental Health Workers. </w:t>
      </w:r>
      <w:r w:rsidRPr="00AA133F">
        <w:rPr>
          <w:rFonts w:cs="Times New Roman"/>
          <w:i/>
          <w:iCs/>
          <w:noProof/>
          <w:szCs w:val="24"/>
        </w:rPr>
        <w:t>Journal of Loss and Trauma</w:t>
      </w:r>
      <w:r w:rsidRPr="00AA133F">
        <w:rPr>
          <w:rFonts w:cs="Times New Roman"/>
          <w:noProof/>
          <w:szCs w:val="24"/>
        </w:rPr>
        <w:t>. https://doi.org/10.1080/15325024.2013.797268</w:t>
      </w:r>
    </w:p>
    <w:p w14:paraId="0A5332BA" w14:textId="77777777" w:rsidR="00AA133F" w:rsidRPr="00AA133F" w:rsidRDefault="00AA133F" w:rsidP="00AA133F">
      <w:pPr>
        <w:widowControl w:val="0"/>
        <w:autoSpaceDE w:val="0"/>
        <w:autoSpaceDN w:val="0"/>
        <w:adjustRightInd w:val="0"/>
        <w:spacing w:line="480" w:lineRule="auto"/>
        <w:ind w:left="480" w:hanging="480"/>
        <w:rPr>
          <w:rFonts w:cs="Times New Roman"/>
          <w:noProof/>
          <w:szCs w:val="24"/>
        </w:rPr>
      </w:pPr>
      <w:r w:rsidRPr="00AA133F">
        <w:rPr>
          <w:rFonts w:cs="Times New Roman"/>
          <w:noProof/>
          <w:szCs w:val="24"/>
        </w:rPr>
        <w:t xml:space="preserve">Lowe, C. (2016). The Professional’s Influence within the Client System: Exploring Counter-Transference and Adult Attachment within the Therapeutic Relationships with Children Experiencing Abuse and Their Caregivers. </w:t>
      </w:r>
      <w:r w:rsidRPr="00AA133F">
        <w:rPr>
          <w:rFonts w:cs="Times New Roman"/>
          <w:i/>
          <w:iCs/>
          <w:noProof/>
          <w:szCs w:val="24"/>
        </w:rPr>
        <w:t>Journal of Social Work Practice</w:t>
      </w:r>
      <w:r w:rsidRPr="00AA133F">
        <w:rPr>
          <w:rFonts w:cs="Times New Roman"/>
          <w:noProof/>
          <w:szCs w:val="24"/>
        </w:rPr>
        <w:t>. https://doi.org/10.1080/02650533.2015.1035236</w:t>
      </w:r>
    </w:p>
    <w:p w14:paraId="34CDC55D" w14:textId="77777777" w:rsidR="00AA133F" w:rsidRPr="00AA133F" w:rsidRDefault="00AA133F" w:rsidP="00AA133F">
      <w:pPr>
        <w:widowControl w:val="0"/>
        <w:autoSpaceDE w:val="0"/>
        <w:autoSpaceDN w:val="0"/>
        <w:adjustRightInd w:val="0"/>
        <w:spacing w:line="480" w:lineRule="auto"/>
        <w:ind w:left="480" w:hanging="480"/>
        <w:rPr>
          <w:rFonts w:cs="Times New Roman"/>
          <w:noProof/>
        </w:rPr>
      </w:pPr>
      <w:r w:rsidRPr="00AA133F">
        <w:rPr>
          <w:rFonts w:cs="Times New Roman"/>
          <w:noProof/>
          <w:szCs w:val="24"/>
        </w:rPr>
        <w:t xml:space="preserve">Pack, M. (2014). Vicarious Resilience: A Multilayered Model of Stress and Trauma. </w:t>
      </w:r>
      <w:r w:rsidRPr="00AA133F">
        <w:rPr>
          <w:rFonts w:cs="Times New Roman"/>
          <w:i/>
          <w:iCs/>
          <w:noProof/>
          <w:szCs w:val="24"/>
        </w:rPr>
        <w:t>Affilia - Journal of Women and Social Work</w:t>
      </w:r>
      <w:r w:rsidRPr="00AA133F">
        <w:rPr>
          <w:rFonts w:cs="Times New Roman"/>
          <w:noProof/>
          <w:szCs w:val="24"/>
        </w:rPr>
        <w:t>. https://doi.org/10.1177/0886109913510088</w:t>
      </w:r>
    </w:p>
    <w:p w14:paraId="5BC7490E" w14:textId="486BC129" w:rsidR="00AA133F" w:rsidRPr="00AA133F" w:rsidRDefault="00AA133F" w:rsidP="00AA133F">
      <w:pPr>
        <w:spacing w:line="480" w:lineRule="auto"/>
      </w:pPr>
      <w:r>
        <w:fldChar w:fldCharType="end"/>
      </w:r>
    </w:p>
    <w:p w14:paraId="575A0F1C" w14:textId="77777777" w:rsidR="00AA133F" w:rsidRDefault="00AA133F" w:rsidP="00AA133F">
      <w:pPr>
        <w:spacing w:line="480" w:lineRule="auto"/>
      </w:pPr>
    </w:p>
    <w:p w14:paraId="6444DD88" w14:textId="77777777" w:rsidR="003E2ECB" w:rsidRDefault="003E2ECB"/>
    <w:p w14:paraId="6444DD89" w14:textId="77777777" w:rsidR="003E2ECB" w:rsidRPr="003E2ECB" w:rsidRDefault="003E2ECB"/>
    <w:sectPr w:rsidR="003E2ECB" w:rsidRPr="003E2ECB" w:rsidSect="00476E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DCCBD" w14:textId="77777777" w:rsidR="004B6C20" w:rsidRDefault="004B6C20">
      <w:pPr>
        <w:spacing w:after="0" w:line="240" w:lineRule="auto"/>
      </w:pPr>
      <w:r>
        <w:separator/>
      </w:r>
    </w:p>
  </w:endnote>
  <w:endnote w:type="continuationSeparator" w:id="0">
    <w:p w14:paraId="352C3269" w14:textId="77777777" w:rsidR="004B6C20" w:rsidRDefault="004B6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B44BA" w14:textId="77777777" w:rsidR="004B6C20" w:rsidRDefault="004B6C20">
      <w:pPr>
        <w:spacing w:after="0" w:line="240" w:lineRule="auto"/>
      </w:pPr>
      <w:r>
        <w:separator/>
      </w:r>
    </w:p>
  </w:footnote>
  <w:footnote w:type="continuationSeparator" w:id="0">
    <w:p w14:paraId="4B0062F0" w14:textId="77777777" w:rsidR="004B6C20" w:rsidRDefault="004B6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4DD8E" w14:textId="77777777" w:rsidR="00476E20" w:rsidRDefault="00A35F18">
    <w:pPr>
      <w:pStyle w:val="Header"/>
      <w:jc w:val="right"/>
    </w:pPr>
    <w:r w:rsidRPr="00476E20">
      <w:t xml:space="preserve">VICARIOUS TRAUMA, BURNOUT AND COUNTER-TRANSFERENCE   </w:t>
    </w:r>
    <w:r>
      <w:t xml:space="preserve">                   </w:t>
    </w:r>
    <w:sdt>
      <w:sdtPr>
        <w:id w:val="-890192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51F5">
          <w:rPr>
            <w:noProof/>
          </w:rPr>
          <w:t>5</w:t>
        </w:r>
        <w:r>
          <w:rPr>
            <w:noProof/>
          </w:rPr>
          <w:fldChar w:fldCharType="end"/>
        </w:r>
      </w:sdtContent>
    </w:sdt>
  </w:p>
  <w:p w14:paraId="6444DD8F" w14:textId="77777777" w:rsidR="00476E20" w:rsidRDefault="00476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4DD90" w14:textId="77777777" w:rsidR="00476E20" w:rsidRDefault="00A35F18">
    <w:pPr>
      <w:pStyle w:val="Header"/>
      <w:jc w:val="right"/>
    </w:pPr>
    <w:r>
      <w:t xml:space="preserve">Running head: </w:t>
    </w:r>
    <w:r w:rsidRPr="00476E20">
      <w:rPr>
        <w:sz w:val="22"/>
      </w:rPr>
      <w:t>VICARIOUS TRAUMA, BURNOUT AND COUNTER-TRANSFERENCE</w:t>
    </w:r>
    <w:r w:rsidRPr="00476E20">
      <w:t xml:space="preserve"> </w:t>
    </w:r>
    <w:r>
      <w:t xml:space="preserve">  </w:t>
    </w:r>
    <w:sdt>
      <w:sdtPr>
        <w:id w:val="20178038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51F5">
          <w:rPr>
            <w:noProof/>
          </w:rPr>
          <w:t>1</w:t>
        </w:r>
        <w:r>
          <w:rPr>
            <w:noProof/>
          </w:rPr>
          <w:fldChar w:fldCharType="end"/>
        </w:r>
      </w:sdtContent>
    </w:sdt>
  </w:p>
  <w:p w14:paraId="6444DD91" w14:textId="77777777" w:rsidR="00476E20" w:rsidRDefault="00476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QwsbQwNDO1MDO1NDFT0lEKTi0uzszPAykwqQUAUJAtTSwAAAA="/>
  </w:docVars>
  <w:rsids>
    <w:rsidRoot w:val="003E2ECB"/>
    <w:rsid w:val="00002354"/>
    <w:rsid w:val="00023C89"/>
    <w:rsid w:val="00062464"/>
    <w:rsid w:val="00070A0D"/>
    <w:rsid w:val="001021F8"/>
    <w:rsid w:val="00135705"/>
    <w:rsid w:val="00174EC0"/>
    <w:rsid w:val="00216D14"/>
    <w:rsid w:val="002368A0"/>
    <w:rsid w:val="003978A0"/>
    <w:rsid w:val="003B1719"/>
    <w:rsid w:val="003E2ECB"/>
    <w:rsid w:val="003E76FA"/>
    <w:rsid w:val="004054B5"/>
    <w:rsid w:val="00445AE8"/>
    <w:rsid w:val="00457803"/>
    <w:rsid w:val="00464057"/>
    <w:rsid w:val="00476E20"/>
    <w:rsid w:val="004811F1"/>
    <w:rsid w:val="004B6C20"/>
    <w:rsid w:val="00540E31"/>
    <w:rsid w:val="00570699"/>
    <w:rsid w:val="00606362"/>
    <w:rsid w:val="00607925"/>
    <w:rsid w:val="00633753"/>
    <w:rsid w:val="006405CE"/>
    <w:rsid w:val="00666041"/>
    <w:rsid w:val="00673867"/>
    <w:rsid w:val="00696BBB"/>
    <w:rsid w:val="006F18A8"/>
    <w:rsid w:val="007945A9"/>
    <w:rsid w:val="007A4E56"/>
    <w:rsid w:val="007D0985"/>
    <w:rsid w:val="0082210F"/>
    <w:rsid w:val="008A4CCF"/>
    <w:rsid w:val="008B1F7C"/>
    <w:rsid w:val="008D61D8"/>
    <w:rsid w:val="00A07C04"/>
    <w:rsid w:val="00A104CD"/>
    <w:rsid w:val="00A151F5"/>
    <w:rsid w:val="00A35F18"/>
    <w:rsid w:val="00A93BCF"/>
    <w:rsid w:val="00AA133F"/>
    <w:rsid w:val="00B32392"/>
    <w:rsid w:val="00B36CE3"/>
    <w:rsid w:val="00B37751"/>
    <w:rsid w:val="00B5635D"/>
    <w:rsid w:val="00C43BC5"/>
    <w:rsid w:val="00C54F86"/>
    <w:rsid w:val="00C91AE3"/>
    <w:rsid w:val="00CB2C4A"/>
    <w:rsid w:val="00CB42B5"/>
    <w:rsid w:val="00CB4497"/>
    <w:rsid w:val="00CF62B5"/>
    <w:rsid w:val="00D43DB8"/>
    <w:rsid w:val="00D81C86"/>
    <w:rsid w:val="00D8488F"/>
    <w:rsid w:val="00DC1518"/>
    <w:rsid w:val="00E438B9"/>
    <w:rsid w:val="00E8471C"/>
    <w:rsid w:val="00F12ED7"/>
    <w:rsid w:val="00F3042D"/>
    <w:rsid w:val="00F8685D"/>
    <w:rsid w:val="00F94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44DD59"/>
  <w15:chartTrackingRefBased/>
  <w15:docId w15:val="{464C6B37-A974-45C8-B25E-1515888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E20"/>
  </w:style>
  <w:style w:type="paragraph" w:styleId="Footer">
    <w:name w:val="footer"/>
    <w:basedOn w:val="Normal"/>
    <w:link w:val="FooterChar"/>
    <w:uiPriority w:val="99"/>
    <w:unhideWhenUsed/>
    <w:rsid w:val="00476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E20"/>
  </w:style>
  <w:style w:type="character" w:styleId="CommentReference">
    <w:name w:val="annotation reference"/>
    <w:basedOn w:val="DefaultParagraphFont"/>
    <w:uiPriority w:val="99"/>
    <w:semiHidden/>
    <w:unhideWhenUsed/>
    <w:rsid w:val="003E76FA"/>
    <w:rPr>
      <w:sz w:val="16"/>
      <w:szCs w:val="16"/>
    </w:rPr>
  </w:style>
  <w:style w:type="paragraph" w:styleId="CommentText">
    <w:name w:val="annotation text"/>
    <w:basedOn w:val="Normal"/>
    <w:link w:val="CommentTextChar"/>
    <w:uiPriority w:val="99"/>
    <w:semiHidden/>
    <w:unhideWhenUsed/>
    <w:rsid w:val="003E76FA"/>
    <w:pPr>
      <w:spacing w:line="240" w:lineRule="auto"/>
    </w:pPr>
    <w:rPr>
      <w:sz w:val="20"/>
      <w:szCs w:val="20"/>
    </w:rPr>
  </w:style>
  <w:style w:type="character" w:customStyle="1" w:styleId="CommentTextChar">
    <w:name w:val="Comment Text Char"/>
    <w:basedOn w:val="DefaultParagraphFont"/>
    <w:link w:val="CommentText"/>
    <w:uiPriority w:val="99"/>
    <w:semiHidden/>
    <w:rsid w:val="003E76FA"/>
    <w:rPr>
      <w:sz w:val="20"/>
      <w:szCs w:val="20"/>
    </w:rPr>
  </w:style>
  <w:style w:type="paragraph" w:styleId="CommentSubject">
    <w:name w:val="annotation subject"/>
    <w:basedOn w:val="CommentText"/>
    <w:next w:val="CommentText"/>
    <w:link w:val="CommentSubjectChar"/>
    <w:uiPriority w:val="99"/>
    <w:semiHidden/>
    <w:unhideWhenUsed/>
    <w:rsid w:val="003E76FA"/>
    <w:rPr>
      <w:b/>
      <w:bCs/>
    </w:rPr>
  </w:style>
  <w:style w:type="character" w:customStyle="1" w:styleId="CommentSubjectChar">
    <w:name w:val="Comment Subject Char"/>
    <w:basedOn w:val="CommentTextChar"/>
    <w:link w:val="CommentSubject"/>
    <w:uiPriority w:val="99"/>
    <w:semiHidden/>
    <w:rsid w:val="003E76FA"/>
    <w:rPr>
      <w:b/>
      <w:bCs/>
      <w:sz w:val="20"/>
      <w:szCs w:val="20"/>
    </w:rPr>
  </w:style>
  <w:style w:type="paragraph" w:styleId="BalloonText">
    <w:name w:val="Balloon Text"/>
    <w:basedOn w:val="Normal"/>
    <w:link w:val="BalloonTextChar"/>
    <w:uiPriority w:val="99"/>
    <w:semiHidden/>
    <w:unhideWhenUsed/>
    <w:rsid w:val="003E76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6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DB4A7-DF3C-47FF-B2FB-BA8C23B0B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3817</Words>
  <Characters>21760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2019-09-06T12:15:00Z</dcterms:created>
  <dcterms:modified xsi:type="dcterms:W3CDTF">2019-09-06T12:15:00Z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